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Письмо Минтруда России №18-2/10/2-1490 от 19 марта 2013 г.</w:t>
      </w:r>
    </w:p>
    <w:p>
      <w:pPr>
        <w:pStyle w:val="Heading2"/>
        <w:rPr/>
      </w:pPr>
      <w:r>
        <w:rPr/>
        <w:t>«Комплекс мер, направленных на привлечение государственных и муниципальных служащих к противодействию коррупции»</w:t>
      </w:r>
    </w:p>
    <w:p>
      <w:pPr>
        <w:pStyle w:val="TextBody"/>
        <w:rPr/>
      </w:pPr>
      <w:r>
        <w:rPr>
          <w:rStyle w:val="StrongEmphasis"/>
        </w:rPr>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pPr>
        <w:pStyle w:val="TextBody"/>
        <w:rPr/>
      </w:pPr>
      <w:r>
        <w:rPr/>
        <w:t>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контроль за соблюдением антикоррупционных мер.</w:t>
      </w:r>
    </w:p>
    <w:p>
      <w:pPr>
        <w:pStyle w:val="TextBody"/>
        <w:rPr/>
      </w:pPr>
      <w:r>
        <w:rPr/>
        <w:t>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правоприменителя и может различаться.</w:t>
      </w:r>
    </w:p>
    <w:p>
      <w:pPr>
        <w:pStyle w:val="TextBody"/>
        <w:rPr/>
      </w:pPr>
      <w:r>
        <w:rPr/>
        <w:t>Для стимулирования активности в данной деятельности в Национальном плане противодействия коррупции на 2012-2013 годы, утвержденном Указом Президента Российской Федерации от 13 марта 2012 г. №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 Реализацию мероприятий, направленных на противодействие коррупции, необходимо осуществлять систематически на плановой основе.</w:t>
      </w:r>
    </w:p>
    <w:p>
      <w:pPr>
        <w:pStyle w:val="TextBody"/>
        <w:rPr/>
      </w:pPr>
      <w:r>
        <w:rPr/>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pPr>
        <w:pStyle w:val="TextBody"/>
        <w:rPr/>
      </w:pPr>
      <w:r>
        <w:rPr/>
        <w:t>Деятельность остальных федеральных государственных органов планируется с учетом положений Национальной стратегии противодействия коррупции, утвержденной Указом Президента Российской Федерации от 13 апреля 2010 г. № 460, и Национального плана противодействия коррупции.</w:t>
      </w:r>
    </w:p>
    <w:p>
      <w:pPr>
        <w:pStyle w:val="TextBody"/>
        <w:rPr/>
      </w:pPr>
      <w:r>
        <w:rPr/>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
    <w:p>
      <w:pPr>
        <w:pStyle w:val="TextBody"/>
        <w:rPr/>
      </w:pPr>
      <w:r>
        <w:rPr/>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pPr>
        <w:pStyle w:val="TextBody"/>
        <w:rPr/>
      </w:pPr>
      <w:r>
        <w:rPr/>
        <w:t>Отсутствие культуры антикорупционного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pPr>
        <w:pStyle w:val="TextBody"/>
        <w:rPr/>
      </w:pPr>
      <w:r>
        <w:rP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pPr>
        <w:pStyle w:val="TextBody"/>
        <w:rPr/>
      </w:pPr>
      <w:r>
        <w:rPr>
          <w:rStyle w:val="StrongEmphasis"/>
        </w:rPr>
        <w:t>II. Описание мер, направленных на привлечение государственных и муниципальных служащих к противодействию коррупции</w:t>
      </w:r>
    </w:p>
    <w:p>
      <w:pPr>
        <w:pStyle w:val="TextBody"/>
        <w:rPr/>
      </w:pPr>
      <w:r>
        <w:rP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pPr>
        <w:pStyle w:val="TextBody"/>
        <w:numPr>
          <w:ilvl w:val="0"/>
          <w:numId w:val="1"/>
        </w:numPr>
        <w:tabs>
          <w:tab w:val="left" w:pos="0" w:leader="none"/>
        </w:tabs>
        <w:spacing w:before="0" w:after="0"/>
        <w:ind w:left="707" w:hanging="283"/>
        <w:rPr/>
      </w:pPr>
      <w:r>
        <w:rPr/>
        <w:t xml:space="preserve">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 </w:t>
      </w:r>
    </w:p>
    <w:p>
      <w:pPr>
        <w:pStyle w:val="TextBody"/>
        <w:numPr>
          <w:ilvl w:val="0"/>
          <w:numId w:val="1"/>
        </w:numPr>
        <w:tabs>
          <w:tab w:val="left" w:pos="0" w:leader="none"/>
        </w:tabs>
        <w:spacing w:before="0" w:after="0"/>
        <w:ind w:left="707" w:hanging="283"/>
        <w:rPr/>
      </w:pPr>
      <w:r>
        <w:rPr/>
        <w:t xml:space="preserve">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 </w:t>
      </w:r>
    </w:p>
    <w:p>
      <w:pPr>
        <w:pStyle w:val="TextBody"/>
        <w:numPr>
          <w:ilvl w:val="0"/>
          <w:numId w:val="1"/>
        </w:numPr>
        <w:tabs>
          <w:tab w:val="left" w:pos="0" w:leader="none"/>
        </w:tabs>
        <w:spacing w:before="0" w:after="0"/>
        <w:ind w:left="707" w:hanging="283"/>
        <w:rPr/>
      </w:pPr>
      <w:r>
        <w:rPr/>
        <w:t xml:space="preserve">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 </w:t>
      </w:r>
    </w:p>
    <w:p>
      <w:pPr>
        <w:pStyle w:val="TextBody"/>
        <w:numPr>
          <w:ilvl w:val="0"/>
          <w:numId w:val="1"/>
        </w:numPr>
        <w:tabs>
          <w:tab w:val="left" w:pos="0" w:leader="none"/>
        </w:tabs>
        <w:ind w:left="707" w:hanging="283"/>
        <w:rPr/>
      </w:pPr>
      <w:r>
        <w:rPr/>
        <w:t xml:space="preserve">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 </w:t>
      </w:r>
    </w:p>
    <w:p>
      <w:pPr>
        <w:pStyle w:val="TextBody"/>
        <w:rPr/>
      </w:pPr>
      <w:r>
        <w:rP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pPr>
        <w:pStyle w:val="TextBody"/>
        <w:rPr/>
      </w:pPr>
      <w:r>
        <w:rP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pPr>
        <w:pStyle w:val="TextBody"/>
        <w:rPr/>
      </w:pPr>
      <w:r>
        <w:rP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pPr>
        <w:pStyle w:val="TextBody"/>
        <w:rPr/>
      </w:pPr>
      <w:r>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pPr>
        <w:pStyle w:val="TextBody"/>
        <w:rPr/>
      </w:pPr>
      <w:r>
        <w:rPr/>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pPr>
        <w:pStyle w:val="TextBody"/>
        <w:rPr/>
      </w:pPr>
      <w:r>
        <w:rP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pPr>
        <w:pStyle w:val="TextBody"/>
        <w:rPr/>
      </w:pPr>
      <w:r>
        <w:rP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pPr>
        <w:pStyle w:val="TextBody"/>
        <w:rPr/>
      </w:pPr>
      <w:r>
        <w:rPr/>
        <w:t xml:space="preserve">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 </w:t>
      </w:r>
    </w:p>
    <w:p>
      <w:pPr>
        <w:pStyle w:val="TextBody"/>
        <w:rPr/>
      </w:pPr>
      <w:r>
        <w:rP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pPr>
        <w:pStyle w:val="TextBody"/>
        <w:rPr/>
      </w:pPr>
      <w:r>
        <w:rPr/>
        <w:t>В соответствии с пунктом 8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r>
        <w:rPr>
          <w:rStyle w:val="StrongEmphasis"/>
        </w:rPr>
        <w:t xml:space="preserve"> </w:t>
      </w:r>
      <w:r>
        <w:rPr/>
        <w:t>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 Аналогичный порядок формирования комиссии предусматривается и для муниципальных служащих.</w:t>
      </w:r>
    </w:p>
    <w:p>
      <w:pPr>
        <w:pStyle w:val="TextBody"/>
        <w:rPr/>
      </w:pPr>
      <w:r>
        <w:rP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pPr>
        <w:pStyle w:val="TextBody"/>
        <w:rPr/>
      </w:pPr>
      <w:r>
        <w:rP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pPr>
        <w:pStyle w:val="TextBody"/>
        <w:rPr/>
      </w:pPr>
      <w:r>
        <w:rP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pPr>
        <w:pStyle w:val="TextBody"/>
        <w:rPr/>
      </w:pPr>
      <w:r>
        <w:rP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pPr>
        <w:pStyle w:val="TextBody"/>
        <w:numPr>
          <w:ilvl w:val="0"/>
          <w:numId w:val="2"/>
        </w:numPr>
        <w:tabs>
          <w:tab w:val="left" w:pos="0" w:leader="none"/>
        </w:tabs>
        <w:spacing w:before="0" w:after="0"/>
        <w:ind w:left="707" w:hanging="283"/>
        <w:rPr/>
      </w:pPr>
      <w:r>
        <w:rPr/>
        <w:t xml:space="preserve">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 </w:t>
      </w:r>
    </w:p>
    <w:p>
      <w:pPr>
        <w:pStyle w:val="TextBody"/>
        <w:numPr>
          <w:ilvl w:val="0"/>
          <w:numId w:val="2"/>
        </w:numPr>
        <w:tabs>
          <w:tab w:val="left" w:pos="0" w:leader="none"/>
        </w:tabs>
        <w:spacing w:before="0" w:after="0"/>
        <w:ind w:left="707" w:hanging="283"/>
        <w:rPr/>
      </w:pPr>
      <w:r>
        <w:rPr/>
        <w:t xml:space="preserve">в программах наставничества над лицами, впервые поступающими на государственную (муниципальную) службу; </w:t>
      </w:r>
    </w:p>
    <w:p>
      <w:pPr>
        <w:pStyle w:val="TextBody"/>
        <w:numPr>
          <w:ilvl w:val="0"/>
          <w:numId w:val="2"/>
        </w:numPr>
        <w:tabs>
          <w:tab w:val="left" w:pos="0" w:leader="none"/>
        </w:tabs>
        <w:spacing w:before="0" w:after="0"/>
        <w:ind w:left="707" w:hanging="283"/>
        <w:rPr/>
      </w:pPr>
      <w:r>
        <w:rPr/>
        <w:t xml:space="preserve">в подготовке типовых ситуаций конфликта интересов и иных методических материалов по профилактике коррупции; </w:t>
      </w:r>
    </w:p>
    <w:p>
      <w:pPr>
        <w:pStyle w:val="TextBody"/>
        <w:numPr>
          <w:ilvl w:val="0"/>
          <w:numId w:val="2"/>
        </w:numPr>
        <w:tabs>
          <w:tab w:val="left" w:pos="0" w:leader="none"/>
        </w:tabs>
        <w:spacing w:before="0" w:after="0"/>
        <w:ind w:left="707" w:hanging="283"/>
        <w:rPr/>
      </w:pPr>
      <w:r>
        <w:rPr/>
        <w:t xml:space="preserve">в социологических опросах, направленных на оценку восприятия антикоррупционных мер и их эффективности; </w:t>
      </w:r>
    </w:p>
    <w:p>
      <w:pPr>
        <w:pStyle w:val="TextBody"/>
        <w:numPr>
          <w:ilvl w:val="0"/>
          <w:numId w:val="2"/>
        </w:numPr>
        <w:tabs>
          <w:tab w:val="left" w:pos="0" w:leader="none"/>
        </w:tabs>
        <w:spacing w:before="0" w:after="0"/>
        <w:ind w:left="707" w:hanging="283"/>
        <w:rPr/>
      </w:pPr>
      <w:r>
        <w:rPr/>
        <w:t xml:space="preserve">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 </w:t>
      </w:r>
    </w:p>
    <w:p>
      <w:pPr>
        <w:pStyle w:val="TextBody"/>
        <w:numPr>
          <w:ilvl w:val="0"/>
          <w:numId w:val="2"/>
        </w:numPr>
        <w:tabs>
          <w:tab w:val="left" w:pos="0" w:leader="none"/>
        </w:tabs>
        <w:ind w:left="707" w:hanging="283"/>
        <w:rPr/>
      </w:pPr>
      <w:r>
        <w:rPr/>
        <w:t xml:space="preserve">в других мероприятиях такого рода. </w:t>
      </w:r>
    </w:p>
    <w:p>
      <w:pPr>
        <w:pStyle w:val="TextBody"/>
        <w:rPr/>
      </w:pPr>
      <w:r>
        <w:rPr/>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pPr>
        <w:pStyle w:val="TextBody"/>
        <w:rPr/>
      </w:pPr>
      <w:r>
        <w:rP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pPr>
        <w:pStyle w:val="TextBody"/>
        <w:numPr>
          <w:ilvl w:val="0"/>
          <w:numId w:val="3"/>
        </w:numPr>
        <w:tabs>
          <w:tab w:val="left" w:pos="0" w:leader="none"/>
        </w:tabs>
        <w:spacing w:before="0" w:after="0"/>
        <w:ind w:left="707" w:hanging="283"/>
        <w:rPr/>
      </w:pPr>
      <w:r>
        <w:rPr/>
        <w:t xml:space="preserve">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 </w:t>
      </w:r>
    </w:p>
    <w:p>
      <w:pPr>
        <w:pStyle w:val="TextBody"/>
        <w:numPr>
          <w:ilvl w:val="0"/>
          <w:numId w:val="3"/>
        </w:numPr>
        <w:tabs>
          <w:tab w:val="left" w:pos="0" w:leader="none"/>
        </w:tabs>
        <w:spacing w:before="0" w:after="0"/>
        <w:ind w:left="707" w:hanging="283"/>
        <w:rPr/>
      </w:pPr>
      <w:r>
        <w:rPr/>
        <w:t xml:space="preserve">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 </w:t>
      </w:r>
    </w:p>
    <w:p>
      <w:pPr>
        <w:pStyle w:val="TextBody"/>
        <w:numPr>
          <w:ilvl w:val="0"/>
          <w:numId w:val="3"/>
        </w:numPr>
        <w:tabs>
          <w:tab w:val="left" w:pos="0" w:leader="none"/>
        </w:tabs>
        <w:spacing w:before="0" w:after="0"/>
        <w:ind w:left="707" w:hanging="283"/>
        <w:rPr/>
      </w:pPr>
      <w:r>
        <w:rPr/>
        <w:t xml:space="preserve">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 </w:t>
      </w:r>
    </w:p>
    <w:p>
      <w:pPr>
        <w:pStyle w:val="TextBody"/>
        <w:numPr>
          <w:ilvl w:val="0"/>
          <w:numId w:val="3"/>
        </w:numPr>
        <w:tabs>
          <w:tab w:val="left" w:pos="0" w:leader="none"/>
        </w:tabs>
        <w:ind w:left="707" w:hanging="283"/>
        <w:rPr/>
      </w:pPr>
      <w:r>
        <w:rPr/>
        <w:t xml:space="preserve">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 </w:t>
      </w:r>
    </w:p>
    <w:p>
      <w:pPr>
        <w:pStyle w:val="TextBody"/>
        <w:rPr/>
      </w:pPr>
      <w:r>
        <w:rPr/>
        <w:t>4.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 и муниципальных служащих</w:t>
      </w:r>
    </w:p>
    <w:p>
      <w:pPr>
        <w:pStyle w:val="TextBody"/>
        <w:rPr/>
      </w:pPr>
      <w:r>
        <w:rP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pPr>
        <w:pStyle w:val="TextBody"/>
        <w:numPr>
          <w:ilvl w:val="0"/>
          <w:numId w:val="4"/>
        </w:numPr>
        <w:tabs>
          <w:tab w:val="left" w:pos="0" w:leader="none"/>
        </w:tabs>
        <w:spacing w:before="0" w:after="0"/>
        <w:ind w:left="707" w:hanging="283"/>
        <w:rPr/>
      </w:pPr>
      <w:r>
        <w:rPr/>
        <w:t xml:space="preserve">уголовная ответственность за дачу и получение взятки; </w:t>
      </w:r>
    </w:p>
    <w:p>
      <w:pPr>
        <w:pStyle w:val="TextBody"/>
        <w:numPr>
          <w:ilvl w:val="0"/>
          <w:numId w:val="4"/>
        </w:numPr>
        <w:tabs>
          <w:tab w:val="left" w:pos="0" w:leader="none"/>
        </w:tabs>
        <w:spacing w:before="0" w:after="0"/>
        <w:ind w:left="707" w:hanging="283"/>
        <w:rPr/>
      </w:pPr>
      <w:r>
        <w:rPr/>
        <w:t xml:space="preserve">получение подарков; </w:t>
      </w:r>
    </w:p>
    <w:p>
      <w:pPr>
        <w:pStyle w:val="TextBody"/>
        <w:numPr>
          <w:ilvl w:val="0"/>
          <w:numId w:val="4"/>
        </w:numPr>
        <w:tabs>
          <w:tab w:val="left" w:pos="0" w:leader="none"/>
        </w:tabs>
        <w:spacing w:before="0" w:after="0"/>
        <w:ind w:left="707" w:hanging="283"/>
        <w:rPr/>
      </w:pPr>
      <w:r>
        <w:rPr/>
        <w:t xml:space="preserve">урегулирование конфликта интересов; </w:t>
      </w:r>
    </w:p>
    <w:p>
      <w:pPr>
        <w:pStyle w:val="TextBody"/>
        <w:numPr>
          <w:ilvl w:val="0"/>
          <w:numId w:val="4"/>
        </w:numPr>
        <w:tabs>
          <w:tab w:val="left" w:pos="0" w:leader="none"/>
        </w:tabs>
        <w:spacing w:before="0" w:after="0"/>
        <w:ind w:left="707" w:hanging="283"/>
        <w:rPr/>
      </w:pPr>
      <w:r>
        <w:rPr/>
        <w:t xml:space="preserve">выполнение иной оплачиваемой работы; </w:t>
      </w:r>
    </w:p>
    <w:p>
      <w:pPr>
        <w:pStyle w:val="TextBody"/>
        <w:numPr>
          <w:ilvl w:val="0"/>
          <w:numId w:val="4"/>
        </w:numPr>
        <w:tabs>
          <w:tab w:val="left" w:pos="0" w:leader="none"/>
        </w:tabs>
        <w:ind w:left="707" w:hanging="283"/>
        <w:rPr/>
      </w:pPr>
      <w:r>
        <w:rPr/>
        <w:t xml:space="preserve">информирование о замеченных фактах коррупции и т.д. </w:t>
      </w:r>
    </w:p>
    <w:p>
      <w:pPr>
        <w:pStyle w:val="TextBody"/>
        <w:rPr/>
      </w:pPr>
      <w:r>
        <w:rP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TextBody"/>
        <w:rPr/>
      </w:pPr>
      <w:r>
        <w:rPr/>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pPr>
        <w:pStyle w:val="TextBody"/>
        <w:rPr/>
      </w:pPr>
      <w:r>
        <w:rPr/>
        <w:t>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pPr>
        <w:pStyle w:val="TextBody"/>
        <w:rPr/>
      </w:pPr>
      <w:r>
        <w:rP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pPr>
        <w:pStyle w:val="TextBody"/>
        <w:rPr/>
      </w:pPr>
      <w:r>
        <w:rPr/>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pPr>
        <w:pStyle w:val="TextBody"/>
        <w:rPr/>
      </w:pPr>
      <w:r>
        <w:rPr/>
        <w:t>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pPr>
        <w:pStyle w:val="TextBody"/>
        <w:rPr/>
      </w:pPr>
      <w:r>
        <w:rP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pPr>
        <w:pStyle w:val="TextBody"/>
        <w:rPr/>
      </w:pPr>
      <w:r>
        <w:rPr/>
        <w:t>Беседа с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pPr>
        <w:pStyle w:val="TextBody"/>
        <w:rPr/>
      </w:pPr>
      <w:r>
        <w:rPr/>
        <w:t xml:space="preserve">Одним из дополнительных инструментов реализации отдельных мероприятий, предусмотренных настоящим комплексом мер, может </w:t>
        <w:br/>
        <w:t>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pPr>
        <w:pStyle w:val="TextBody"/>
        <w:rPr/>
      </w:pPr>
      <w:r>
        <w:rPr/>
        <w:t>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он-лайн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он-лайн конференции с участием всех заинтересованных государственных (муниципальных) служащих. 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
    <w:p>
      <w:pPr>
        <w:pStyle w:val="TextBody"/>
        <w:rPr/>
      </w:pPr>
      <w:r>
        <w:rPr>
          <w:rStyle w:val="StrongEmphasis"/>
        </w:rPr>
        <w:t>III. Перечень мер, направленных на привлечение государственных и муниципальных служащих к противодействию коррупции</w:t>
      </w:r>
    </w:p>
    <w:tbl>
      <w:tblPr>
        <w:tblW w:w="10205" w:type="dxa"/>
        <w:jc w:val="left"/>
        <w:tblInd w:w="28"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28" w:type="dxa"/>
          <w:left w:w="20" w:type="dxa"/>
          <w:bottom w:w="28" w:type="dxa"/>
          <w:right w:w="28" w:type="dxa"/>
        </w:tblCellMar>
      </w:tblPr>
      <w:tblGrid>
        <w:gridCol w:w="227"/>
        <w:gridCol w:w="9978"/>
      </w:tblGrid>
      <w:tr>
        <w:trPr/>
        <w:tc>
          <w:tcPr>
            <w:tcW w:w="10205" w:type="dxa"/>
            <w:gridSpan w:val="2"/>
            <w:tcBorders>
              <w:top w:val="single" w:sz="6" w:space="0" w:color="808080"/>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jc w:val="center"/>
              <w:rPr/>
            </w:pPr>
            <w:r>
              <w:rPr>
                <w:rStyle w:val="StrongEmphasis"/>
              </w:rPr>
              <w:t xml:space="preserve">I. Привлечение государственных и муниципальных служащих к участию в обсуждении и разработке </w:t>
            </w:r>
          </w:p>
          <w:p>
            <w:pPr>
              <w:pStyle w:val="TableContents"/>
              <w:spacing w:before="0" w:after="283"/>
              <w:jc w:val="center"/>
              <w:rPr/>
            </w:pPr>
            <w:r>
              <w:rPr>
                <w:rStyle w:val="StrongEmphasis"/>
              </w:rPr>
              <w:t>нормативных правовых актов по вопросам противодействия коррупции</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Информирование государственных муниципальных служащих о возможности участия в подготовке проектов актов по вопросам противодействия коррупции и проведение при необходимости рабочих встреч (серии встреч), заседаний коллегий, соответствующих комиссий, офицерских собраний с участием представителей структурных подразделений государственных (муниципальных) органов в целях организации обсуждения полученных предложений государственных (муниципальных) служащих по проектам актов.</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Проведение не реже одного раза в год обсуждений практики применения антикоррупционного законодательства с государственными (муниципальными) служащими органа государственной власти и местного самоуправления.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3.</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Уведомление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tc>
      </w:tr>
      <w:tr>
        <w:trPr/>
        <w:tc>
          <w:tcPr>
            <w:tcW w:w="10205" w:type="dxa"/>
            <w:gridSpan w:val="2"/>
            <w:tcBorders>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spacing w:before="0" w:after="283"/>
              <w:jc w:val="center"/>
              <w:rPr/>
            </w:pPr>
            <w:r>
              <w:rPr>
                <w:rStyle w:val="StrongEmphasis"/>
              </w:rPr>
              <w:t>II. Активизация участия государственных и муниципальных служащих в работе структурных подразделений по профилактике коррупционных и иных правонарушений, а также комиссий по соблюдению требований к служебному поведению и урегулированию конфликта интересов, аттестационных комиссий</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Привлечение к участию в работе комиссии по соблюдению требований к служебному поведению и урегулированию конфликта интересов государственных (муниципальных) служащих представителей структурных подразделений органа государственной власти и местного самоуправления.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Организация регулярной ротации,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 xml:space="preserve">3. </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Информирование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tc>
      </w:tr>
      <w:tr>
        <w:trPr/>
        <w:tc>
          <w:tcPr>
            <w:tcW w:w="10205" w:type="dxa"/>
            <w:gridSpan w:val="2"/>
            <w:tcBorders>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spacing w:before="0" w:after="283"/>
              <w:jc w:val="center"/>
              <w:rPr/>
            </w:pPr>
            <w:r>
              <w:rPr>
                <w:rStyle w:val="StrongEmphasis"/>
              </w:rPr>
              <w:t>III. Стимулирование государственных и муниципальных служащих к предоставлению информации об известных им случаях коррупционных правонарушений, нарушений требований к служебному поведению, ситуациях конфликта интересов</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Закрепление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правонарушений[1];</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Разъяснение порядка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3.</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Доведение до сведения государственных (муниципальных) служащих, что они не только должны уведомлять представителя нанимателя (работодателя) об обращении к ним в целях склонения к совершению коррупционных правонарушений, но также могут предоставлять информацию обо всех ставших им известными фактах совершения коррупционных правонарушений вне зависимости от того, обращался ли к ним кто-то лично.</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4.</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tc>
      </w:tr>
      <w:tr>
        <w:trPr/>
        <w:tc>
          <w:tcPr>
            <w:tcW w:w="10205" w:type="dxa"/>
            <w:gridSpan w:val="2"/>
            <w:tcBorders>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jc w:val="center"/>
              <w:rPr/>
            </w:pPr>
            <w:r>
              <w:rPr>
                <w:rStyle w:val="StrongEmphasis"/>
              </w:rPr>
              <w:t xml:space="preserve">IV.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 </w:t>
            </w:r>
          </w:p>
          <w:p>
            <w:pPr>
              <w:pStyle w:val="TableContents"/>
              <w:spacing w:before="0" w:after="283"/>
              <w:jc w:val="center"/>
              <w:rPr/>
            </w:pPr>
            <w:r>
              <w:rPr>
                <w:rStyle w:val="StrongEmphasis"/>
              </w:rPr>
              <w:t>и муниципальных служащих</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Разработка памяток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Организация в рамках проведения конкурсных процедур анкетирования, тестирования или иных методов оценки знания положений основ антикоррупционного законодательства.</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3.</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rPr/>
            </w:pPr>
            <w:r>
              <w:rPr/>
              <w:t>Обеспечение организации различных видов учебных семинаров по вопросам противодействия коррупции:</w:t>
            </w:r>
          </w:p>
          <w:p>
            <w:pPr>
              <w:pStyle w:val="TableContents"/>
              <w:rPr/>
            </w:pPr>
            <w:r>
              <w:rPr/>
              <w:t>- вводного семинара для граждан, впервые поступивших на государственную (муниципальную) службу;</w:t>
            </w:r>
          </w:p>
          <w:p>
            <w:pPr>
              <w:pStyle w:val="TableContents"/>
              <w:rPr/>
            </w:pPr>
            <w:r>
              <w:rPr/>
              <w:t>- регулярных семинаров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w:t>
            </w:r>
          </w:p>
          <w:p>
            <w:pPr>
              <w:pStyle w:val="TableContents"/>
              <w:spacing w:before="0" w:after="283"/>
              <w:rPr/>
            </w:pPr>
            <w:r>
              <w:rPr/>
              <w:t>- специальных семинаров в случае существенных изменений законодательства в сфере противодействия коррупции, затрагивающих государственных (муниципальных) служащих.</w:t>
            </w:r>
          </w:p>
        </w:tc>
      </w:tr>
      <w:tr>
        <w:trPr/>
        <w:tc>
          <w:tcPr>
            <w:tcW w:w="227" w:type="dxa"/>
            <w:tcBorders>
              <w:left w:val="single" w:sz="6" w:space="0" w:color="808080"/>
              <w:bottom w:val="single" w:sz="6" w:space="0" w:color="808080"/>
              <w:insideH w:val="single" w:sz="6" w:space="0" w:color="808080"/>
            </w:tcBorders>
            <w:shd w:fill="auto" w:val="clear"/>
            <w:tcMar>
              <w:left w:w="20" w:type="dxa"/>
            </w:tcMar>
          </w:tcPr>
          <w:p>
            <w:pPr>
              <w:pStyle w:val="TableContents"/>
              <w:spacing w:before="0" w:after="283"/>
              <w:jc w:val="center"/>
              <w:rPr/>
            </w:pPr>
            <w:r>
              <w:rPr/>
              <w:t>4.</w:t>
            </w:r>
          </w:p>
        </w:tc>
        <w:tc>
          <w:tcPr>
            <w:tcW w:w="9978" w:type="dxa"/>
            <w:tcBorders>
              <w:left w:val="single" w:sz="2" w:space="0" w:color="808080"/>
              <w:bottom w:val="single" w:sz="6" w:space="0" w:color="808080"/>
              <w:right w:val="single" w:sz="6" w:space="0" w:color="808080"/>
              <w:insideH w:val="single" w:sz="6" w:space="0" w:color="808080"/>
              <w:insideV w:val="single" w:sz="6" w:space="0" w:color="808080"/>
            </w:tcBorders>
            <w:shd w:fill="auto" w:val="clear"/>
            <w:tcMar>
              <w:left w:w="27" w:type="dxa"/>
            </w:tcMar>
            <w:vAlign w:val="center"/>
          </w:tcPr>
          <w:p>
            <w:pPr>
              <w:pStyle w:val="TableContents"/>
              <w:spacing w:before="0" w:after="283"/>
              <w:rPr/>
            </w:pPr>
            <w:r>
              <w:rPr/>
              <w:t>Проведение регулярной работы по разъяснению исполнения требований антикоррупционного законодательства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w:t>
            </w:r>
          </w:p>
        </w:tc>
      </w:tr>
    </w:tbl>
    <w:p>
      <w:pPr>
        <w:pStyle w:val="HorizontalLine"/>
        <w:pBdr>
          <w:bottom w:val="double" w:sz="2" w:space="0" w:color="808080"/>
        </w:pBdr>
        <w:rPr/>
      </w:pPr>
      <w:r>
        <w:rPr/>
      </w:r>
    </w:p>
    <w:p>
      <w:pPr>
        <w:pStyle w:val="TextBody"/>
        <w:spacing w:before="0" w:after="283"/>
        <w:rPr/>
      </w:pPr>
      <w:r>
        <w:rPr/>
        <w:t>[1]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Минздравсоцразвития России и письмом от 20 сентября 2010 г. № 7666-17 направлены в федеральные государственные органы для использования в работе.</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OpenSymbol">
    <w:altName w:val="Arial Unicode MS"/>
    <w:charset w:val="02"/>
    <w:family w:val="auto"/>
    <w:pitch w:val="default"/>
  </w:font>
  <w:font w:name="Albany">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ru-RU"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